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76" w:lineRule="exact"/>
        <w:ind w:firstLine="712"/>
        <w:jc w:val="center"/>
        <w:rPr>
          <w:rFonts w:ascii="方正小标宋简体" w:hAnsi="方正小标宋_GBK" w:eastAsia="方正小标宋简体" w:cs="方正小标宋_GBK"/>
          <w:color w:val="000000" w:themeColor="text1"/>
          <w:sz w:val="44"/>
          <w:szCs w:val="44"/>
          <w14:textFill>
            <w14:solidFill>
              <w14:schemeClr w14:val="tx1"/>
            </w14:solidFill>
          </w14:textFill>
        </w:rPr>
      </w:pPr>
      <w:r>
        <w:rPr>
          <w:rFonts w:hint="eastAsia" w:ascii="方正小标宋简体" w:hAnsi="方正小标宋_GBK" w:eastAsia="方正小标宋简体" w:cs="方正小标宋_GBK"/>
          <w:color w:val="000000" w:themeColor="text1"/>
          <w:sz w:val="44"/>
          <w:szCs w:val="44"/>
          <w14:textFill>
            <w14:solidFill>
              <w14:schemeClr w14:val="tx1"/>
            </w14:solidFill>
          </w14:textFill>
        </w:rPr>
        <w:t>青海大学实验室安全督查员管理办法</w:t>
      </w:r>
    </w:p>
    <w:p>
      <w:pPr>
        <w:pStyle w:val="5"/>
        <w:spacing w:before="0" w:beforeAutospacing="0" w:after="0" w:afterAutospacing="0" w:line="576" w:lineRule="exact"/>
        <w:ind w:firstLine="712"/>
        <w:jc w:val="center"/>
        <w:rPr>
          <w:rFonts w:ascii="方正小标宋简体" w:hAnsi="方正小标宋_GBK" w:eastAsia="方正小标宋简体" w:cs="方正小标宋_GBK"/>
          <w:color w:val="000000" w:themeColor="text1"/>
          <w:sz w:val="22"/>
          <w:szCs w:val="22"/>
          <w14:textFill>
            <w14:solidFill>
              <w14:schemeClr w14:val="tx1"/>
            </w14:solidFill>
          </w14:textFill>
        </w:rPr>
      </w:pP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ascii="黑体" w:eastAsia="黑体" w:cs="黑体"/>
          <w:color w:val="000000" w:themeColor="text1"/>
          <w:sz w:val="31"/>
          <w:szCs w:val="31"/>
          <w14:textFill>
            <w14:solidFill>
              <w14:schemeClr w14:val="tx1"/>
            </w14:solidFill>
          </w14:textFill>
        </w:rPr>
        <w:t>第一条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color w:val="000000" w:themeColor="text1"/>
          <w:sz w:val="31"/>
          <w:szCs w:val="31"/>
          <w14:textFill>
            <w14:solidFill>
              <w14:schemeClr w14:val="tx1"/>
            </w14:solidFill>
          </w14:textFill>
        </w:rPr>
        <w:t>为强化学校实验室安全管理，规范实验室安全工作，根据教育部《高等学校实验室安全规范》要求及学校实验室安全相关规章制度，制定本条例。</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 xml:space="preserve">第二条 </w:t>
      </w:r>
      <w:r>
        <w:rPr>
          <w:rFonts w:hint="eastAsia" w:ascii="仿宋_GB2312" w:hAnsi="仿宋_GB2312" w:eastAsia="仿宋_GB2312" w:cs="仿宋_GB2312"/>
          <w:color w:val="000000" w:themeColor="text1"/>
          <w:sz w:val="31"/>
          <w:szCs w:val="31"/>
          <w14:textFill>
            <w14:solidFill>
              <w14:schemeClr w14:val="tx1"/>
            </w14:solidFill>
          </w14:textFill>
        </w:rPr>
        <w:t>实验室安全督查员由校实验室安全委员会领导，日常工作由实验室管理处组织实施，并定期向主管校长汇报督查工作情况。</w:t>
      </w:r>
    </w:p>
    <w:p>
      <w:pPr>
        <w:pStyle w:val="5"/>
        <w:spacing w:before="0" w:beforeAutospacing="0" w:after="0" w:afterAutospacing="0" w:line="576" w:lineRule="exact"/>
        <w:ind w:firstLine="612"/>
        <w:jc w:val="both"/>
        <w:rPr>
          <w:rFonts w:ascii="黑体" w:eastAsia="黑体" w:cs="黑体"/>
          <w:color w:val="000000" w:themeColor="text1"/>
          <w:sz w:val="31"/>
          <w:szCs w:val="31"/>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第三条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color w:val="000000" w:themeColor="text1"/>
          <w:sz w:val="31"/>
          <w:szCs w:val="31"/>
          <w14:textFill>
            <w14:solidFill>
              <w14:schemeClr w14:val="tx1"/>
            </w14:solidFill>
          </w14:textFill>
        </w:rPr>
        <w:t>督查的范围包括全校教学实验室和科研实验室。</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第四条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b/>
          <w:color w:val="000000" w:themeColor="text1"/>
          <w:sz w:val="31"/>
          <w:szCs w:val="31"/>
          <w14:textFill>
            <w14:solidFill>
              <w14:schemeClr w14:val="tx1"/>
            </w14:solidFill>
          </w14:textFill>
        </w:rPr>
        <w:t>实验室安全督查员的聘任要求</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1.</w:t>
      </w:r>
      <w:r>
        <w:rPr>
          <w:rFonts w:hint="eastAsia" w:ascii="仿宋_GB2312" w:hAnsi="仿宋_GB2312" w:eastAsia="仿宋_GB2312" w:cs="仿宋_GB2312"/>
          <w:color w:val="000000" w:themeColor="text1"/>
          <w:sz w:val="31"/>
          <w:szCs w:val="31"/>
          <w14:textFill>
            <w14:solidFill>
              <w14:schemeClr w14:val="tx1"/>
            </w14:solidFill>
          </w14:textFill>
        </w:rPr>
        <w:t>坚持以习近平新时代中国特色社会主义思想为指导，坚持四项基本原则，坚持党的教育方针，顾全大局，爱岗敬业；</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2.</w:t>
      </w:r>
      <w:r>
        <w:rPr>
          <w:rFonts w:hint="eastAsia" w:ascii="仿宋_GB2312" w:hAnsi="仿宋_GB2312" w:eastAsia="仿宋_GB2312" w:cs="仿宋_GB2312"/>
          <w:color w:val="000000" w:themeColor="text1"/>
          <w:sz w:val="31"/>
          <w:szCs w:val="31"/>
          <w14:textFill>
            <w14:solidFill>
              <w14:schemeClr w14:val="tx1"/>
            </w14:solidFill>
          </w14:textFill>
        </w:rPr>
        <w:t>有多年从事实验室管理、实验教学等相关工作的经历，熟悉实验室安全相关业务，实验室安全管理能力强。具有副教授以上或其他相应高级职称者优先；</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3.</w:t>
      </w:r>
      <w:r>
        <w:rPr>
          <w:rFonts w:hint="eastAsia" w:ascii="仿宋_GB2312" w:hAnsi="仿宋_GB2312" w:eastAsia="仿宋_GB2312" w:cs="仿宋_GB2312"/>
          <w:color w:val="000000" w:themeColor="text1"/>
          <w:sz w:val="31"/>
          <w:szCs w:val="31"/>
          <w14:textFill>
            <w14:solidFill>
              <w14:schemeClr w14:val="tx1"/>
            </w14:solidFill>
          </w14:textFill>
        </w:rPr>
        <w:t>作风正派，严于律己，办事公道，敢于直言，实事求是；</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4.</w:t>
      </w:r>
      <w:r>
        <w:rPr>
          <w:rFonts w:hint="eastAsia" w:ascii="仿宋_GB2312" w:hAnsi="仿宋_GB2312" w:eastAsia="仿宋_GB2312" w:cs="仿宋_GB2312"/>
          <w:color w:val="000000" w:themeColor="text1"/>
          <w:sz w:val="31"/>
          <w:szCs w:val="31"/>
          <w14:textFill>
            <w14:solidFill>
              <w14:schemeClr w14:val="tx1"/>
            </w14:solidFill>
          </w14:textFill>
        </w:rPr>
        <w:t>熟悉国家有关实验室安全的政策法规，熟悉学校各项实验室安全管理规章制度。</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第五条</w:t>
      </w:r>
      <w:r>
        <w:rPr>
          <w:rFonts w:hint="eastAsia" w:ascii="仿宋_GB2312" w:hAnsi="仿宋_GB2312" w:eastAsia="仿宋_GB2312" w:cs="仿宋_GB2312"/>
          <w:color w:val="000000" w:themeColor="text1"/>
          <w:sz w:val="31"/>
          <w:szCs w:val="31"/>
          <w14:textFill>
            <w14:solidFill>
              <w14:schemeClr w14:val="tx1"/>
            </w14:solidFill>
          </w14:textFill>
        </w:rPr>
        <w:t xml:space="preserve"> 实验室安全督查员队伍由各院系（中心）在职在编教师或实验室技术人员（包含退休人员）组成，经各院系(中心)推荐，实验室管理处审核，主管校长批准，学校颁发聘书，每届聘期3年，有督查经验的可优先聘任，可连聘连任，最多不超过3届。对于督查工作不力或不能很好发挥督查作用的实验室安全督查员，经学校评议，报主管校长批准，可予以解聘。</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 xml:space="preserve">第六条 </w:t>
      </w:r>
      <w:r>
        <w:rPr>
          <w:rFonts w:hint="eastAsia" w:ascii="仿宋_GB2312" w:hAnsi="仿宋_GB2312" w:eastAsia="仿宋_GB2312" w:cs="仿宋_GB2312"/>
          <w:b/>
          <w:color w:val="000000" w:themeColor="text1"/>
          <w:sz w:val="31"/>
          <w:szCs w:val="31"/>
          <w14:textFill>
            <w14:solidFill>
              <w14:schemeClr w14:val="tx1"/>
            </w14:solidFill>
          </w14:textFill>
        </w:rPr>
        <w:t>安全督查员职责</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1.研究国家有关实验室技术安全的政策和法规，参与学校制定和修订实验室安全管理规章制度；</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2.定期对学校教学、科研实验室安全进行督查和巡查，填写实验室安全巡查记录和安全隐患台账；</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3.参与学校定期组织的全校性实验室安全大检查；</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4.督促有关单位对督查、检查中所发现的安全隐患采取措施加以整改，并跟踪整改成效；</w:t>
      </w:r>
    </w:p>
    <w:p>
      <w:pPr>
        <w:pStyle w:val="5"/>
        <w:spacing w:before="0" w:beforeAutospacing="0" w:after="0" w:afterAutospacing="0" w:line="576" w:lineRule="exact"/>
        <w:ind w:firstLine="612" w:firstLineChars="200"/>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5.定期参加有关实验室安全相关工作的培训，对学校实验室安全管理工作提出意见和建议；</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6.完成学校安排的其他相关工作。</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ascii="Calibri" w:hAnsi="Calibri" w:eastAsia="仿宋_GB2312" w:cs="Calibri"/>
          <w:color w:val="000000" w:themeColor="text1"/>
          <w:sz w:val="31"/>
          <w:szCs w:val="31"/>
          <w14:textFill>
            <w14:solidFill>
              <w14:schemeClr w14:val="tx1"/>
            </w14:solidFill>
          </w14:textFill>
        </w:rPr>
        <w:t> </w:t>
      </w:r>
      <w:r>
        <w:rPr>
          <w:rFonts w:hint="eastAsia" w:ascii="黑体" w:eastAsia="黑体" w:cs="黑体"/>
          <w:color w:val="000000" w:themeColor="text1"/>
          <w:sz w:val="31"/>
          <w:szCs w:val="31"/>
          <w14:textFill>
            <w14:solidFill>
              <w14:schemeClr w14:val="tx1"/>
            </w14:solidFill>
          </w14:textFill>
        </w:rPr>
        <w:t>第七条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b/>
          <w:color w:val="000000" w:themeColor="text1"/>
          <w:sz w:val="31"/>
          <w:szCs w:val="31"/>
          <w14:textFill>
            <w14:solidFill>
              <w14:schemeClr w14:val="tx1"/>
            </w14:solidFill>
          </w14:textFill>
        </w:rPr>
        <w:t>督查员工作要求</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1.实验室安全督查员按学科进行分类并分组开展督查工作，按学科相近原则进行分组，3</w:t>
      </w:r>
      <w:r>
        <w:rPr>
          <w:rFonts w:ascii="仿宋_GB2312" w:hAnsi="仿宋_GB2312" w:eastAsia="仿宋_GB2312" w:cs="仿宋_GB2312"/>
          <w:color w:val="000000" w:themeColor="text1"/>
          <w:sz w:val="31"/>
          <w:szCs w:val="31"/>
          <w14:textFill>
            <w14:solidFill>
              <w14:schemeClr w14:val="tx1"/>
            </w14:solidFill>
          </w14:textFill>
        </w:rPr>
        <w:t>-5</w:t>
      </w:r>
      <w:r>
        <w:rPr>
          <w:rFonts w:hint="eastAsia" w:ascii="仿宋_GB2312" w:hAnsi="仿宋_GB2312" w:eastAsia="仿宋_GB2312" w:cs="仿宋_GB2312"/>
          <w:color w:val="000000" w:themeColor="text1"/>
          <w:sz w:val="31"/>
          <w:szCs w:val="31"/>
          <w14:textFill>
            <w14:solidFill>
              <w14:schemeClr w14:val="tx1"/>
            </w14:solidFill>
          </w14:textFill>
        </w:rPr>
        <w:t>人为一组，每组设组长一名，作为开展工作的召集人。</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2</w:t>
      </w:r>
      <w:r>
        <w:rPr>
          <w:rFonts w:ascii="仿宋_GB2312" w:hAnsi="仿宋_GB2312" w:eastAsia="仿宋_GB2312" w:cs="仿宋_GB2312"/>
          <w:color w:val="000000" w:themeColor="text1"/>
          <w:sz w:val="31"/>
          <w:szCs w:val="31"/>
          <w14:textFill>
            <w14:solidFill>
              <w14:schemeClr w14:val="tx1"/>
            </w14:solidFill>
          </w14:textFill>
        </w:rPr>
        <w:t>.</w:t>
      </w:r>
      <w:r>
        <w:rPr>
          <w:rFonts w:hint="eastAsia" w:ascii="仿宋_GB2312" w:hAnsi="仿宋_GB2312" w:eastAsia="仿宋_GB2312" w:cs="仿宋_GB2312"/>
          <w:color w:val="000000" w:themeColor="text1"/>
          <w:sz w:val="31"/>
          <w:szCs w:val="31"/>
          <w14:textFill>
            <w14:solidFill>
              <w14:schemeClr w14:val="tx1"/>
            </w14:solidFill>
          </w14:textFill>
        </w:rPr>
        <w:t>督查员在工作过程中须佩戴督查证，每次开展督查工作时须由3人或以上同时到场进行督查，结果方为有效。</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3.督查组每月对实验室检查不低于</w:t>
      </w:r>
      <w:r>
        <w:rPr>
          <w:rFonts w:ascii="仿宋_GB2312" w:hAnsi="仿宋_GB2312" w:eastAsia="仿宋_GB2312" w:cs="仿宋_GB2312"/>
          <w:color w:val="000000" w:themeColor="text1"/>
          <w:sz w:val="31"/>
          <w:szCs w:val="31"/>
          <w14:textFill>
            <w14:solidFill>
              <w14:schemeClr w14:val="tx1"/>
            </w14:solidFill>
          </w14:textFill>
        </w:rPr>
        <w:t>1</w:t>
      </w:r>
      <w:r>
        <w:rPr>
          <w:rFonts w:hint="eastAsia" w:ascii="仿宋_GB2312" w:hAnsi="仿宋_GB2312" w:eastAsia="仿宋_GB2312" w:cs="仿宋_GB2312"/>
          <w:color w:val="000000" w:themeColor="text1"/>
          <w:sz w:val="31"/>
          <w:szCs w:val="31"/>
          <w14:textFill>
            <w14:solidFill>
              <w14:schemeClr w14:val="tx1"/>
            </w14:solidFill>
          </w14:textFill>
        </w:rPr>
        <w:t>次，并做好检查记录和拍照取证工作，督查结束后向被督查院系（中心）反馈督查结果，并在一周内向实验室安全委员会提交书面督查报告。</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4.对违反实验室安全工作的人或事，要及时纠正和制止；对督查整改情况进行跟踪检查。</w:t>
      </w:r>
    </w:p>
    <w:p>
      <w:pPr>
        <w:pStyle w:val="5"/>
        <w:spacing w:before="0" w:beforeAutospacing="0" w:after="0" w:afterAutospacing="0" w:line="576" w:lineRule="exact"/>
        <w:ind w:firstLine="612"/>
        <w:jc w:val="both"/>
        <w:rPr>
          <w:rFonts w:ascii="黑体" w:eastAsia="黑体" w:cs="黑体"/>
          <w:color w:val="000000" w:themeColor="text1"/>
          <w:sz w:val="31"/>
          <w:szCs w:val="31"/>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5</w:t>
      </w:r>
      <w:r>
        <w:rPr>
          <w:rFonts w:ascii="仿宋_GB2312" w:hAnsi="仿宋_GB2312" w:eastAsia="仿宋_GB2312" w:cs="仿宋_GB2312"/>
          <w:color w:val="000000" w:themeColor="text1"/>
          <w:sz w:val="31"/>
          <w:szCs w:val="31"/>
          <w14:textFill>
            <w14:solidFill>
              <w14:schemeClr w14:val="tx1"/>
            </w14:solidFill>
          </w14:textFill>
        </w:rPr>
        <w:t>.</w:t>
      </w:r>
      <w:r>
        <w:rPr>
          <w:rFonts w:hint="eastAsia" w:ascii="仿宋_GB2312" w:hAnsi="仿宋_GB2312" w:eastAsia="仿宋_GB2312" w:cs="仿宋_GB2312"/>
          <w:color w:val="000000" w:themeColor="text1"/>
          <w:sz w:val="31"/>
          <w:szCs w:val="31"/>
          <w14:textFill>
            <w14:solidFill>
              <w14:schemeClr w14:val="tx1"/>
            </w14:solidFill>
          </w14:textFill>
        </w:rPr>
        <w:t>督查员在聘任期内要严格按照《青海大学实验室安全督查员管理办法》开展督查工作；督查员要严格遵守实验室管理方面的各项法律法规及相关管理制度，每学期完成一定的督查工作量，为提升实验室管理和实验室安全建言献策。</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第八条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b/>
          <w:color w:val="000000" w:themeColor="text1"/>
          <w:sz w:val="31"/>
          <w:szCs w:val="31"/>
          <w14:textFill>
            <w14:solidFill>
              <w14:schemeClr w14:val="tx1"/>
            </w14:solidFill>
          </w14:textFill>
        </w:rPr>
        <w:t>检查结果应用</w:t>
      </w:r>
    </w:p>
    <w:p>
      <w:pPr>
        <w:pStyle w:val="5"/>
        <w:spacing w:before="0" w:beforeAutospacing="0" w:after="0" w:afterAutospacing="0" w:line="576" w:lineRule="exact"/>
        <w:ind w:firstLine="612"/>
        <w:jc w:val="both"/>
        <w:rPr>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31"/>
          <w:szCs w:val="31"/>
          <w14:textFill>
            <w14:solidFill>
              <w14:schemeClr w14:val="tx1"/>
            </w14:solidFill>
          </w14:textFill>
        </w:rPr>
        <w:t>1.实验室安全督查组督查结果将作为各院系（中心）、各级各类实验室及实验室安全管理人员评优评奖的重要依据之一。</w:t>
      </w:r>
    </w:p>
    <w:p>
      <w:pPr>
        <w:pStyle w:val="5"/>
        <w:spacing w:before="0" w:beforeAutospacing="0" w:after="0" w:afterAutospacing="0" w:line="576" w:lineRule="exact"/>
        <w:ind w:firstLine="612"/>
        <w:jc w:val="both"/>
        <w:rPr>
          <w:rFonts w:ascii="仿宋_GB2312" w:hAnsi="仿宋_GB2312" w:eastAsia="仿宋_GB2312" w:cs="仿宋_GB2312"/>
          <w:color w:val="000000" w:themeColor="text1"/>
          <w:sz w:val="31"/>
          <w:szCs w:val="31"/>
          <w14:textFill>
            <w14:solidFill>
              <w14:schemeClr w14:val="tx1"/>
            </w14:solidFill>
          </w14:textFill>
        </w:rPr>
      </w:pPr>
      <w:r>
        <w:rPr>
          <w:rFonts w:ascii="仿宋_GB2312" w:hAnsi="仿宋_GB2312" w:eastAsia="仿宋_GB2312" w:cs="仿宋_GB2312"/>
          <w:color w:val="000000" w:themeColor="text1"/>
          <w:sz w:val="31"/>
          <w:szCs w:val="31"/>
          <w14:textFill>
            <w14:solidFill>
              <w14:schemeClr w14:val="tx1"/>
            </w14:solidFill>
          </w14:textFill>
        </w:rPr>
        <w:t>2.</w:t>
      </w:r>
      <w:r>
        <w:rPr>
          <w:rFonts w:hint="eastAsia" w:ascii="仿宋_GB2312" w:hAnsi="仿宋_GB2312" w:eastAsia="仿宋_GB2312" w:cs="仿宋_GB2312"/>
          <w:color w:val="000000" w:themeColor="text1"/>
          <w:sz w:val="31"/>
          <w:szCs w:val="31"/>
          <w14:textFill>
            <w14:solidFill>
              <w14:schemeClr w14:val="tx1"/>
            </w14:solidFill>
          </w14:textFill>
        </w:rPr>
        <w:t>实验室安全督查组在督查中发现的问题将视情节轻重在相关层面予以书面通报。</w:t>
      </w:r>
    </w:p>
    <w:p>
      <w:pPr>
        <w:widowControl/>
        <w:spacing w:line="576" w:lineRule="exact"/>
        <w:ind w:firstLine="612" w:firstLineChars="200"/>
        <w:rPr>
          <w:rFonts w:ascii="黑体" w:hAnsi="宋体" w:eastAsia="黑体" w:cs="黑体"/>
          <w:color w:val="000000" w:themeColor="text1"/>
          <w:sz w:val="31"/>
          <w:szCs w:val="31"/>
          <w14:textFill>
            <w14:solidFill>
              <w14:schemeClr w14:val="tx1"/>
            </w14:solidFill>
          </w14:textFill>
        </w:rPr>
      </w:pPr>
      <w:r>
        <w:rPr>
          <w:rFonts w:hint="eastAsia" w:ascii="黑体" w:hAnsi="宋体" w:eastAsia="黑体" w:cs="黑体"/>
          <w:color w:val="000000" w:themeColor="text1"/>
          <w:sz w:val="31"/>
          <w:szCs w:val="31"/>
          <w14:textFill>
            <w14:solidFill>
              <w14:schemeClr w14:val="tx1"/>
            </w14:solidFill>
          </w14:textFill>
        </w:rPr>
        <w:t>第九条</w:t>
      </w:r>
      <w:r>
        <w:rPr>
          <w:rFonts w:hint="eastAsia" w:ascii="仿宋_GB2312" w:hAnsi="仿宋_GB2312" w:cs="仿宋_GB2312"/>
          <w:color w:val="000000" w:themeColor="text1"/>
          <w:sz w:val="31"/>
          <w:szCs w:val="31"/>
          <w14:textFill>
            <w14:solidFill>
              <w14:schemeClr w14:val="tx1"/>
            </w14:solidFill>
          </w14:textFill>
        </w:rPr>
        <w:t xml:space="preserve"> </w:t>
      </w:r>
      <w:r>
        <w:rPr>
          <w:rFonts w:hint="eastAsia" w:ascii="仿宋_GB2312" w:hAnsi="仿宋_GB2312" w:cs="仿宋_GB2312"/>
          <w:b/>
          <w:color w:val="000000" w:themeColor="text1"/>
          <w:sz w:val="31"/>
          <w:szCs w:val="31"/>
          <w14:textFill>
            <w14:solidFill>
              <w14:schemeClr w14:val="tx1"/>
            </w14:solidFill>
          </w14:textFill>
        </w:rPr>
        <w:t>督查员待遇</w:t>
      </w:r>
    </w:p>
    <w:p>
      <w:pPr>
        <w:widowControl/>
        <w:spacing w:line="576" w:lineRule="exact"/>
        <w:ind w:firstLine="612" w:firstLineChars="200"/>
        <w:rPr>
          <w:rFonts w:ascii="仿宋_GB2312" w:hAnsi="仿宋_GB2312" w:cs="仿宋_GB2312"/>
          <w:color w:val="000000" w:themeColor="text1"/>
          <w:sz w:val="31"/>
          <w:szCs w:val="31"/>
          <w14:textFill>
            <w14:solidFill>
              <w14:schemeClr w14:val="tx1"/>
            </w14:solidFill>
          </w14:textFill>
        </w:rPr>
      </w:pPr>
      <w:r>
        <w:rPr>
          <w:rFonts w:hint="eastAsia" w:ascii="仿宋_GB2312" w:hAnsi="仿宋_GB2312" w:cs="仿宋_GB2312"/>
          <w:color w:val="000000" w:themeColor="text1"/>
          <w:sz w:val="31"/>
          <w:szCs w:val="31"/>
          <w14:textFill>
            <w14:solidFill>
              <w14:schemeClr w14:val="tx1"/>
            </w14:solidFill>
          </w14:textFill>
        </w:rPr>
        <w:t>实验室安全督查员的督查工作按每小时折合1学时计算，每学期最低督查学时</w:t>
      </w:r>
      <w:r>
        <w:rPr>
          <w:rFonts w:ascii="仿宋_GB2312" w:hAnsi="仿宋_GB2312" w:cs="仿宋_GB2312"/>
          <w:color w:val="000000" w:themeColor="text1"/>
          <w:sz w:val="31"/>
          <w:szCs w:val="31"/>
          <w14:textFill>
            <w14:solidFill>
              <w14:schemeClr w14:val="tx1"/>
            </w14:solidFill>
          </w14:textFill>
        </w:rPr>
        <w:t>为</w:t>
      </w:r>
      <w:r>
        <w:rPr>
          <w:rFonts w:hint="eastAsia" w:ascii="仿宋_GB2312" w:hAnsi="仿宋_GB2312" w:cs="仿宋_GB2312"/>
          <w:color w:val="000000" w:themeColor="text1"/>
          <w:sz w:val="31"/>
          <w:szCs w:val="31"/>
          <w14:textFill>
            <w14:solidFill>
              <w14:schemeClr w14:val="tx1"/>
            </w14:solidFill>
          </w14:textFill>
        </w:rPr>
        <w:t>1</w:t>
      </w:r>
      <w:r>
        <w:rPr>
          <w:rFonts w:ascii="仿宋_GB2312" w:hAnsi="仿宋_GB2312" w:cs="仿宋_GB2312"/>
          <w:color w:val="000000" w:themeColor="text1"/>
          <w:sz w:val="31"/>
          <w:szCs w:val="31"/>
          <w14:textFill>
            <w14:solidFill>
              <w14:schemeClr w14:val="tx1"/>
            </w14:solidFill>
          </w14:textFill>
        </w:rPr>
        <w:t>2学时</w:t>
      </w:r>
      <w:r>
        <w:rPr>
          <w:rFonts w:hint="eastAsia" w:ascii="仿宋_GB2312" w:hAnsi="仿宋_GB2312" w:cs="仿宋_GB2312"/>
          <w:color w:val="000000" w:themeColor="text1"/>
          <w:sz w:val="31"/>
          <w:szCs w:val="31"/>
          <w14:textFill>
            <w14:solidFill>
              <w14:schemeClr w14:val="tx1"/>
            </w14:solidFill>
          </w14:textFill>
        </w:rPr>
        <w:t>，最高不超过</w:t>
      </w:r>
      <w:r>
        <w:rPr>
          <w:rFonts w:ascii="仿宋_GB2312" w:hAnsi="仿宋_GB2312" w:cs="仿宋_GB2312"/>
          <w:color w:val="000000" w:themeColor="text1"/>
          <w:sz w:val="31"/>
          <w:szCs w:val="31"/>
          <w14:textFill>
            <w14:solidFill>
              <w14:schemeClr w14:val="tx1"/>
            </w14:solidFill>
          </w14:textFill>
        </w:rPr>
        <w:t>50</w:t>
      </w:r>
      <w:r>
        <w:rPr>
          <w:rFonts w:hint="eastAsia" w:ascii="仿宋_GB2312" w:hAnsi="仿宋_GB2312" w:cs="仿宋_GB2312"/>
          <w:color w:val="000000" w:themeColor="text1"/>
          <w:sz w:val="31"/>
          <w:szCs w:val="31"/>
          <w14:textFill>
            <w14:solidFill>
              <w14:schemeClr w14:val="tx1"/>
            </w14:solidFill>
          </w14:textFill>
        </w:rPr>
        <w:t>学时</w:t>
      </w:r>
      <w:r>
        <w:rPr>
          <w:rFonts w:ascii="仿宋_GB2312" w:hAnsi="仿宋_GB2312" w:cs="仿宋_GB2312"/>
          <w:color w:val="000000" w:themeColor="text1"/>
          <w:sz w:val="31"/>
          <w:szCs w:val="31"/>
          <w14:textFill>
            <w14:solidFill>
              <w14:schemeClr w14:val="tx1"/>
            </w14:solidFill>
          </w14:textFill>
        </w:rPr>
        <w:t>。</w:t>
      </w:r>
      <w:r>
        <w:rPr>
          <w:rFonts w:hint="eastAsia" w:ascii="仿宋_GB2312" w:hAnsi="仿宋_GB2312" w:cs="仿宋_GB2312"/>
          <w:color w:val="000000" w:themeColor="text1"/>
          <w:sz w:val="31"/>
          <w:szCs w:val="31"/>
          <w14:textFill>
            <w14:solidFill>
              <w14:schemeClr w14:val="tx1"/>
            </w14:solidFill>
          </w14:textFill>
        </w:rPr>
        <w:t>实验室安全</w:t>
      </w:r>
      <w:r>
        <w:rPr>
          <w:rFonts w:ascii="仿宋_GB2312" w:hAnsi="仿宋_GB2312" w:cs="仿宋_GB2312"/>
          <w:color w:val="000000" w:themeColor="text1"/>
          <w:sz w:val="31"/>
          <w:szCs w:val="31"/>
          <w14:textFill>
            <w14:solidFill>
              <w14:schemeClr w14:val="tx1"/>
            </w14:solidFill>
          </w14:textFill>
        </w:rPr>
        <w:t>督</w:t>
      </w:r>
      <w:r>
        <w:rPr>
          <w:rFonts w:hint="eastAsia" w:ascii="仿宋_GB2312" w:hAnsi="仿宋_GB2312" w:cs="仿宋_GB2312"/>
          <w:color w:val="000000" w:themeColor="text1"/>
          <w:sz w:val="31"/>
          <w:szCs w:val="31"/>
          <w14:textFill>
            <w14:solidFill>
              <w14:schemeClr w14:val="tx1"/>
            </w14:solidFill>
          </w14:textFill>
        </w:rPr>
        <w:t>查</w:t>
      </w:r>
      <w:r>
        <w:rPr>
          <w:rFonts w:ascii="仿宋_GB2312" w:hAnsi="仿宋_GB2312" w:cs="仿宋_GB2312"/>
          <w:color w:val="000000" w:themeColor="text1"/>
          <w:sz w:val="31"/>
          <w:szCs w:val="31"/>
          <w14:textFill>
            <w14:solidFill>
              <w14:schemeClr w14:val="tx1"/>
            </w14:solidFill>
          </w14:textFill>
        </w:rPr>
        <w:t>员参与督</w:t>
      </w:r>
      <w:r>
        <w:rPr>
          <w:rFonts w:hint="eastAsia" w:ascii="仿宋_GB2312" w:hAnsi="仿宋_GB2312" w:cs="仿宋_GB2312"/>
          <w:color w:val="000000" w:themeColor="text1"/>
          <w:sz w:val="31"/>
          <w:szCs w:val="31"/>
          <w14:textFill>
            <w14:solidFill>
              <w14:schemeClr w14:val="tx1"/>
            </w14:solidFill>
          </w14:textFill>
        </w:rPr>
        <w:t>查检查</w:t>
      </w:r>
      <w:r>
        <w:rPr>
          <w:rFonts w:ascii="仿宋_GB2312" w:hAnsi="仿宋_GB2312" w:cs="仿宋_GB2312"/>
          <w:color w:val="000000" w:themeColor="text1"/>
          <w:sz w:val="31"/>
          <w:szCs w:val="31"/>
          <w14:textFill>
            <w14:solidFill>
              <w14:schemeClr w14:val="tx1"/>
            </w14:solidFill>
          </w14:textFill>
        </w:rPr>
        <w:t>活动，督</w:t>
      </w:r>
      <w:r>
        <w:rPr>
          <w:rFonts w:hint="eastAsia" w:ascii="仿宋_GB2312" w:hAnsi="仿宋_GB2312" w:cs="仿宋_GB2312"/>
          <w:color w:val="000000" w:themeColor="text1"/>
          <w:sz w:val="31"/>
          <w:szCs w:val="31"/>
          <w14:textFill>
            <w14:solidFill>
              <w14:schemeClr w14:val="tx1"/>
            </w14:solidFill>
          </w14:textFill>
        </w:rPr>
        <w:t>查检查</w:t>
      </w:r>
      <w:r>
        <w:rPr>
          <w:rFonts w:ascii="仿宋_GB2312" w:hAnsi="仿宋_GB2312" w:cs="仿宋_GB2312"/>
          <w:color w:val="000000" w:themeColor="text1"/>
          <w:sz w:val="31"/>
          <w:szCs w:val="31"/>
          <w14:textFill>
            <w14:solidFill>
              <w14:schemeClr w14:val="tx1"/>
            </w14:solidFill>
          </w14:textFill>
        </w:rPr>
        <w:t>活动</w:t>
      </w:r>
      <w:r>
        <w:rPr>
          <w:rFonts w:hint="eastAsia" w:ascii="仿宋_GB2312" w:hAnsi="仿宋_GB2312" w:cs="仿宋_GB2312"/>
          <w:color w:val="000000" w:themeColor="text1"/>
          <w:sz w:val="31"/>
          <w:szCs w:val="31"/>
          <w14:textFill>
            <w14:solidFill>
              <w14:schemeClr w14:val="tx1"/>
            </w14:solidFill>
          </w14:textFill>
        </w:rPr>
        <w:t>主要以交叉互查为主，参照教学督导绩效发放办法在每年</w:t>
      </w:r>
      <w:r>
        <w:rPr>
          <w:rFonts w:ascii="仿宋_GB2312" w:hAnsi="仿宋_GB2312" w:cs="仿宋_GB2312"/>
          <w:color w:val="000000" w:themeColor="text1"/>
          <w:sz w:val="31"/>
          <w:szCs w:val="31"/>
          <w14:textFill>
            <w14:solidFill>
              <w14:schemeClr w14:val="tx1"/>
            </w14:solidFill>
          </w14:textFill>
        </w:rPr>
        <w:t>度末核发工作绩效。未完成</w:t>
      </w:r>
      <w:r>
        <w:rPr>
          <w:rFonts w:hint="eastAsia" w:ascii="仿宋_GB2312" w:hAnsi="仿宋_GB2312" w:cs="仿宋_GB2312"/>
          <w:color w:val="000000" w:themeColor="text1"/>
          <w:sz w:val="31"/>
          <w:szCs w:val="31"/>
          <w14:textFill>
            <w14:solidFill>
              <w14:schemeClr w14:val="tx1"/>
            </w14:solidFill>
          </w14:textFill>
        </w:rPr>
        <w:t>安全</w:t>
      </w:r>
      <w:r>
        <w:rPr>
          <w:rFonts w:ascii="仿宋_GB2312" w:hAnsi="仿宋_GB2312" w:cs="仿宋_GB2312"/>
          <w:color w:val="000000" w:themeColor="text1"/>
          <w:sz w:val="31"/>
          <w:szCs w:val="31"/>
          <w14:textFill>
            <w14:solidFill>
              <w14:schemeClr w14:val="tx1"/>
            </w14:solidFill>
          </w14:textFill>
        </w:rPr>
        <w:t>督</w:t>
      </w:r>
      <w:r>
        <w:rPr>
          <w:rFonts w:hint="eastAsia" w:ascii="仿宋_GB2312" w:hAnsi="仿宋_GB2312" w:cs="仿宋_GB2312"/>
          <w:color w:val="000000" w:themeColor="text1"/>
          <w:sz w:val="31"/>
          <w:szCs w:val="31"/>
          <w14:textFill>
            <w14:solidFill>
              <w14:schemeClr w14:val="tx1"/>
            </w14:solidFill>
          </w14:textFill>
        </w:rPr>
        <w:t>查</w:t>
      </w:r>
      <w:r>
        <w:rPr>
          <w:rFonts w:ascii="仿宋_GB2312" w:hAnsi="仿宋_GB2312" w:cs="仿宋_GB2312"/>
          <w:color w:val="000000" w:themeColor="text1"/>
          <w:sz w:val="31"/>
          <w:szCs w:val="31"/>
          <w14:textFill>
            <w14:solidFill>
              <w14:schemeClr w14:val="tx1"/>
            </w14:solidFill>
          </w14:textFill>
        </w:rPr>
        <w:t>最低工作量</w:t>
      </w:r>
      <w:r>
        <w:rPr>
          <w:rFonts w:hint="eastAsia" w:ascii="仿宋_GB2312" w:hAnsi="仿宋_GB2312" w:cs="仿宋_GB2312"/>
          <w:color w:val="000000" w:themeColor="text1"/>
          <w:sz w:val="31"/>
          <w:szCs w:val="31"/>
          <w14:textFill>
            <w14:solidFill>
              <w14:schemeClr w14:val="tx1"/>
            </w14:solidFill>
          </w14:textFill>
        </w:rPr>
        <w:t>的</w:t>
      </w:r>
      <w:r>
        <w:rPr>
          <w:rFonts w:ascii="仿宋_GB2312" w:hAnsi="仿宋_GB2312" w:cs="仿宋_GB2312"/>
          <w:color w:val="000000" w:themeColor="text1"/>
          <w:sz w:val="31"/>
          <w:szCs w:val="31"/>
          <w14:textFill>
            <w14:solidFill>
              <w14:schemeClr w14:val="tx1"/>
            </w14:solidFill>
          </w14:textFill>
        </w:rPr>
        <w:t>，根据未完成情况按照核算工作绩效的双倍扣发督</w:t>
      </w:r>
      <w:r>
        <w:rPr>
          <w:rFonts w:hint="eastAsia" w:ascii="仿宋_GB2312" w:hAnsi="仿宋_GB2312" w:cs="仿宋_GB2312"/>
          <w:color w:val="000000" w:themeColor="text1"/>
          <w:sz w:val="31"/>
          <w:szCs w:val="31"/>
          <w14:textFill>
            <w14:solidFill>
              <w14:schemeClr w14:val="tx1"/>
            </w14:solidFill>
          </w14:textFill>
        </w:rPr>
        <w:t>查</w:t>
      </w:r>
      <w:r>
        <w:rPr>
          <w:rFonts w:ascii="仿宋_GB2312" w:hAnsi="仿宋_GB2312" w:cs="仿宋_GB2312"/>
          <w:color w:val="000000" w:themeColor="text1"/>
          <w:sz w:val="31"/>
          <w:szCs w:val="31"/>
          <w14:textFill>
            <w14:solidFill>
              <w14:schemeClr w14:val="tx1"/>
            </w14:solidFill>
          </w14:textFill>
        </w:rPr>
        <w:t>工作绩效，直至全部扣完为止。连续两个学期不能完成最低督导工作量，</w:t>
      </w:r>
      <w:r>
        <w:rPr>
          <w:rFonts w:hint="eastAsia" w:ascii="仿宋_GB2312" w:hAnsi="仿宋_GB2312" w:cs="仿宋_GB2312"/>
          <w:color w:val="000000" w:themeColor="text1"/>
          <w:sz w:val="31"/>
          <w:szCs w:val="31"/>
          <w14:textFill>
            <w14:solidFill>
              <w14:schemeClr w14:val="tx1"/>
            </w14:solidFill>
          </w14:textFill>
        </w:rPr>
        <w:t>或督查工作不力的，可予以解聘。</w:t>
      </w:r>
    </w:p>
    <w:p>
      <w:pPr>
        <w:pStyle w:val="5"/>
        <w:spacing w:before="0" w:beforeAutospacing="0" w:after="0" w:afterAutospacing="0" w:line="576" w:lineRule="exact"/>
        <w:ind w:firstLine="612" w:firstLineChars="200"/>
        <w:jc w:val="both"/>
        <w:rPr>
          <w:color w:val="000000" w:themeColor="text1"/>
          <w:sz w:val="22"/>
          <w:szCs w:val="22"/>
          <w14:textFill>
            <w14:solidFill>
              <w14:schemeClr w14:val="tx1"/>
            </w14:solidFill>
          </w14:textFill>
        </w:rPr>
      </w:pPr>
      <w:r>
        <w:rPr>
          <w:rFonts w:hint="eastAsia" w:ascii="黑体" w:eastAsia="黑体" w:cs="黑体"/>
          <w:color w:val="000000" w:themeColor="text1"/>
          <w:sz w:val="31"/>
          <w:szCs w:val="31"/>
          <w14:textFill>
            <w14:solidFill>
              <w14:schemeClr w14:val="tx1"/>
            </w14:solidFill>
          </w14:textFill>
        </w:rPr>
        <w:t>第十条</w:t>
      </w:r>
      <w:r>
        <w:rPr>
          <w:rFonts w:ascii="仿宋_GB2312" w:hAnsi="仿宋_GB2312" w:eastAsia="仿宋_GB2312" w:cs="仿宋_GB2312"/>
          <w:color w:val="000000" w:themeColor="text1"/>
          <w:sz w:val="31"/>
          <w:szCs w:val="31"/>
          <w14:textFill>
            <w14:solidFill>
              <w14:schemeClr w14:val="tx1"/>
            </w14:solidFill>
          </w14:textFill>
        </w:rPr>
        <w:t xml:space="preserve"> </w:t>
      </w:r>
      <w:r>
        <w:rPr>
          <w:rFonts w:hint="eastAsia" w:ascii="仿宋_GB2312" w:hAnsi="仿宋_GB2312" w:eastAsia="仿宋_GB2312" w:cs="仿宋_GB2312"/>
          <w:color w:val="000000" w:themeColor="text1"/>
          <w:sz w:val="31"/>
          <w:szCs w:val="31"/>
          <w14:textFill>
            <w14:solidFill>
              <w14:schemeClr w14:val="tx1"/>
            </w14:solidFill>
          </w14:textFill>
        </w:rPr>
        <w:t>本条例自公布之日起施行，由校实验室安全委员会负责解释。</w:t>
      </w:r>
    </w:p>
    <w:p>
      <w:pPr>
        <w:spacing w:line="576" w:lineRule="exact"/>
        <w:rPr>
          <w:color w:val="000000" w:themeColor="text1"/>
          <w14:textFill>
            <w14:solidFill>
              <w14:schemeClr w14:val="tx1"/>
            </w14:solidFill>
          </w14:textFill>
        </w:rPr>
        <w:sectPr>
          <w:pgSz w:w="11906" w:h="16838"/>
          <w:pgMar w:top="2155" w:right="1474" w:bottom="1985" w:left="1588" w:header="851" w:footer="1247" w:gutter="0"/>
          <w:cols w:space="720" w:num="1"/>
          <w:docGrid w:type="linesAndChars" w:linePitch="577" w:charSpace="-849"/>
        </w:sectPr>
      </w:pPr>
      <w:bookmarkStart w:id="0" w:name="_GoBack"/>
      <w:bookmarkEnd w:id="0"/>
    </w:p>
    <w:p>
      <w:pPr>
        <w:pStyle w:val="5"/>
        <w:shd w:val="clear" w:color="auto" w:fill="FFFFFF"/>
        <w:spacing w:before="0" w:beforeAutospacing="0" w:after="0" w:afterAutospacing="0" w:line="576" w:lineRule="exact"/>
        <w:jc w:val="both"/>
        <w:rPr>
          <w:rFonts w:ascii="仿宋_GB2312" w:hAnsi="微软雅黑"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576" w:lineRule="exact"/>
        <w:ind w:firstLine="632" w:firstLineChars="200"/>
        <w:jc w:val="both"/>
        <w:rPr>
          <w:rFonts w:ascii="仿宋_GB2312" w:hAnsi="微软雅黑" w:eastAsia="仿宋_GB2312"/>
          <w:color w:val="000000" w:themeColor="text1"/>
          <w:sz w:val="32"/>
          <w:szCs w:val="32"/>
          <w14:textFill>
            <w14:solidFill>
              <w14:schemeClr w14:val="tx1"/>
            </w14:solidFill>
          </w14:textFill>
        </w:rPr>
      </w:pPr>
    </w:p>
    <w:p>
      <w:pPr>
        <w:spacing w:line="576" w:lineRule="exact"/>
        <w:rPr>
          <w:color w:val="000000" w:themeColor="text1"/>
          <w14:textFill>
            <w14:solidFill>
              <w14:schemeClr w14:val="tx1"/>
            </w14:solidFill>
          </w14:textFill>
        </w:rPr>
      </w:pPr>
    </w:p>
    <w:sectPr>
      <w:pgSz w:w="11906" w:h="16838"/>
      <w:pgMar w:top="2155" w:right="1474" w:bottom="1985" w:left="1588" w:header="851" w:footer="1247" w:gutter="0"/>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xYmE2Y2UwYmE3Yjg4YjEyYmZlNWFiYTYwN2ZlOGMifQ=="/>
  </w:docVars>
  <w:rsids>
    <w:rsidRoot w:val="00576ECF"/>
    <w:rsid w:val="00004041"/>
    <w:rsid w:val="000114D9"/>
    <w:rsid w:val="00011989"/>
    <w:rsid w:val="000269BD"/>
    <w:rsid w:val="00031FC8"/>
    <w:rsid w:val="000566AB"/>
    <w:rsid w:val="0007123B"/>
    <w:rsid w:val="000816D4"/>
    <w:rsid w:val="00087D2B"/>
    <w:rsid w:val="000946DE"/>
    <w:rsid w:val="00096189"/>
    <w:rsid w:val="000F437A"/>
    <w:rsid w:val="00132985"/>
    <w:rsid w:val="00141896"/>
    <w:rsid w:val="001736AF"/>
    <w:rsid w:val="001758D4"/>
    <w:rsid w:val="001805F3"/>
    <w:rsid w:val="001B3B80"/>
    <w:rsid w:val="001C336E"/>
    <w:rsid w:val="001C4ED9"/>
    <w:rsid w:val="001F1218"/>
    <w:rsid w:val="00212867"/>
    <w:rsid w:val="00252F69"/>
    <w:rsid w:val="00254C89"/>
    <w:rsid w:val="00294AA2"/>
    <w:rsid w:val="002B02B6"/>
    <w:rsid w:val="002E14EB"/>
    <w:rsid w:val="0031647D"/>
    <w:rsid w:val="00321CC2"/>
    <w:rsid w:val="00336457"/>
    <w:rsid w:val="00343B87"/>
    <w:rsid w:val="00380A56"/>
    <w:rsid w:val="003A5892"/>
    <w:rsid w:val="003A7A37"/>
    <w:rsid w:val="0045438F"/>
    <w:rsid w:val="004679DB"/>
    <w:rsid w:val="00483243"/>
    <w:rsid w:val="005059EC"/>
    <w:rsid w:val="00522474"/>
    <w:rsid w:val="00523404"/>
    <w:rsid w:val="00526BDA"/>
    <w:rsid w:val="0053552F"/>
    <w:rsid w:val="00573923"/>
    <w:rsid w:val="005745A1"/>
    <w:rsid w:val="00575B61"/>
    <w:rsid w:val="00576ECF"/>
    <w:rsid w:val="005825FE"/>
    <w:rsid w:val="005B2487"/>
    <w:rsid w:val="005D2375"/>
    <w:rsid w:val="005F508F"/>
    <w:rsid w:val="00630284"/>
    <w:rsid w:val="006B6B5F"/>
    <w:rsid w:val="0070642A"/>
    <w:rsid w:val="0074205D"/>
    <w:rsid w:val="00780FAD"/>
    <w:rsid w:val="007A3993"/>
    <w:rsid w:val="00802B75"/>
    <w:rsid w:val="00803D17"/>
    <w:rsid w:val="00822E61"/>
    <w:rsid w:val="00837B7A"/>
    <w:rsid w:val="0085352F"/>
    <w:rsid w:val="00875BD9"/>
    <w:rsid w:val="008848CA"/>
    <w:rsid w:val="008B2945"/>
    <w:rsid w:val="008C7E70"/>
    <w:rsid w:val="00901CA4"/>
    <w:rsid w:val="00985B47"/>
    <w:rsid w:val="009B1BD2"/>
    <w:rsid w:val="009C4DDD"/>
    <w:rsid w:val="009D57AD"/>
    <w:rsid w:val="009E43A7"/>
    <w:rsid w:val="00A36C3D"/>
    <w:rsid w:val="00A45216"/>
    <w:rsid w:val="00A9172B"/>
    <w:rsid w:val="00A96486"/>
    <w:rsid w:val="00AA214B"/>
    <w:rsid w:val="00AB0D57"/>
    <w:rsid w:val="00AC2392"/>
    <w:rsid w:val="00AC33AA"/>
    <w:rsid w:val="00AD7313"/>
    <w:rsid w:val="00AF1CE7"/>
    <w:rsid w:val="00B1478E"/>
    <w:rsid w:val="00B27F31"/>
    <w:rsid w:val="00B30553"/>
    <w:rsid w:val="00B7045D"/>
    <w:rsid w:val="00B95A1D"/>
    <w:rsid w:val="00BF29D8"/>
    <w:rsid w:val="00C161D9"/>
    <w:rsid w:val="00C60B98"/>
    <w:rsid w:val="00CA06A4"/>
    <w:rsid w:val="00CA4D91"/>
    <w:rsid w:val="00CB1C67"/>
    <w:rsid w:val="00CC363F"/>
    <w:rsid w:val="00CC4B7B"/>
    <w:rsid w:val="00CE5591"/>
    <w:rsid w:val="00D464CE"/>
    <w:rsid w:val="00D60083"/>
    <w:rsid w:val="00D60BDB"/>
    <w:rsid w:val="00D826AC"/>
    <w:rsid w:val="00DA6C3B"/>
    <w:rsid w:val="00DB217F"/>
    <w:rsid w:val="00DB2F97"/>
    <w:rsid w:val="00DF42D1"/>
    <w:rsid w:val="00E12FFE"/>
    <w:rsid w:val="00E5333A"/>
    <w:rsid w:val="00E63842"/>
    <w:rsid w:val="00E66B0C"/>
    <w:rsid w:val="00E80A65"/>
    <w:rsid w:val="00E92813"/>
    <w:rsid w:val="00ED3E17"/>
    <w:rsid w:val="00ED6668"/>
    <w:rsid w:val="00EF2B7F"/>
    <w:rsid w:val="00F47E2F"/>
    <w:rsid w:val="00F6088A"/>
    <w:rsid w:val="00FA17F0"/>
    <w:rsid w:val="00FE6A58"/>
    <w:rsid w:val="00FF0E36"/>
    <w:rsid w:val="00FF2E9E"/>
    <w:rsid w:val="00FF78F0"/>
    <w:rsid w:val="1FB03BDE"/>
    <w:rsid w:val="39F0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uiPriority w:val="99"/>
    <w:rPr>
      <w:rFonts w:ascii="Times New Roman" w:hAnsi="Times New Roman" w:eastAsia="仿宋_GB2312" w:cs="Times New Roman"/>
      <w:sz w:val="18"/>
      <w:szCs w:val="18"/>
    </w:rPr>
  </w:style>
  <w:style w:type="character" w:customStyle="1" w:styleId="10">
    <w:name w:val="页眉 字符"/>
    <w:basedOn w:val="7"/>
    <w:link w:val="4"/>
    <w:qFormat/>
    <w:uiPriority w:val="99"/>
    <w:rPr>
      <w:rFonts w:ascii="Times New Roman" w:hAnsi="Times New Roman" w:eastAsia="仿宋_GB2312" w:cs="Times New Roman"/>
      <w:sz w:val="18"/>
      <w:szCs w:val="18"/>
    </w:rPr>
  </w:style>
  <w:style w:type="character" w:customStyle="1" w:styleId="11">
    <w:name w:val="页脚 字符"/>
    <w:basedOn w:val="7"/>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2461</Words>
  <Characters>2482</Characters>
  <Lines>22</Lines>
  <Paragraphs>6</Paragraphs>
  <TotalTime>1</TotalTime>
  <ScaleCrop>false</ScaleCrop>
  <LinksUpToDate>false</LinksUpToDate>
  <CharactersWithSpaces>2507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2023-05-16T06:22:00Z</dcterms:created>
  <dc:creator>Administrator</dc:creator>
  <cp:lastModifiedBy>qhdx</cp:lastModifiedBy>
  <cp:lastPrinted>2023-05-16T05:44:00Z</cp:lastPrinted>
  <dcterms:modified xsi:type="dcterms:W3CDTF">2023-05-29T08:35:07Z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137651FD563940BB92EA379C871A3029_12</vt:lpwstr>
  </property>
</Properties>
</file>